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494F" w14:textId="6D03D3B1" w:rsidR="002F5B70" w:rsidRPr="00590358" w:rsidRDefault="002F5B70" w:rsidP="005903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358">
        <w:rPr>
          <w:rFonts w:ascii="Times New Roman" w:hAnsi="Times New Roman" w:cs="Times New Roman"/>
          <w:b/>
          <w:bCs/>
          <w:sz w:val="24"/>
          <w:szCs w:val="24"/>
        </w:rPr>
        <w:t xml:space="preserve">TITOLO DELLO STUDIO: </w:t>
      </w:r>
      <w:r w:rsidR="00512582" w:rsidRPr="00590358">
        <w:rPr>
          <w:rFonts w:ascii="Times New Roman" w:hAnsi="Times New Roman" w:cs="Times New Roman"/>
          <w:b/>
          <w:bCs/>
          <w:sz w:val="24"/>
          <w:szCs w:val="24"/>
        </w:rPr>
        <w:t xml:space="preserve">INTERVISTA AL PERSONALE MEDICO DI GENERE FEMMINILE </w:t>
      </w:r>
    </w:p>
    <w:p w14:paraId="03A4CA11" w14:textId="1626B48C" w:rsidR="00266852" w:rsidRPr="00590358" w:rsidRDefault="00266852" w:rsidP="001C4D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358">
        <w:rPr>
          <w:rFonts w:ascii="Times New Roman" w:hAnsi="Times New Roman" w:cs="Times New Roman"/>
          <w:b/>
          <w:bCs/>
          <w:sz w:val="24"/>
          <w:szCs w:val="24"/>
        </w:rPr>
        <w:t>Sinossi</w:t>
      </w:r>
    </w:p>
    <w:p w14:paraId="254A2BA2" w14:textId="77777777" w:rsidR="0085016F" w:rsidRDefault="00AA2AD6" w:rsidP="00E0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58">
        <w:rPr>
          <w:rFonts w:ascii="Times New Roman" w:hAnsi="Times New Roman" w:cs="Times New Roman"/>
          <w:sz w:val="24"/>
          <w:szCs w:val="24"/>
        </w:rPr>
        <w:t xml:space="preserve">Da decenni si parla delle disparità e delle discriminazioni di genere in ambito lavorativo. </w:t>
      </w:r>
      <w:r w:rsidR="00B11FF7">
        <w:rPr>
          <w:rFonts w:ascii="Times New Roman" w:hAnsi="Times New Roman" w:cs="Times New Roman"/>
          <w:sz w:val="24"/>
          <w:szCs w:val="24"/>
        </w:rPr>
        <w:t xml:space="preserve">Il </w:t>
      </w:r>
      <w:r w:rsidR="00B11FF7" w:rsidRPr="00921CB0">
        <w:rPr>
          <w:rFonts w:ascii="Times New Roman" w:hAnsi="Times New Roman" w:cs="Times New Roman"/>
          <w:i/>
          <w:iCs/>
          <w:sz w:val="24"/>
          <w:szCs w:val="24"/>
        </w:rPr>
        <w:t>gender gap</w:t>
      </w:r>
      <w:r w:rsidR="00B11FF7">
        <w:rPr>
          <w:rFonts w:ascii="Times New Roman" w:hAnsi="Times New Roman" w:cs="Times New Roman"/>
          <w:sz w:val="24"/>
          <w:szCs w:val="24"/>
        </w:rPr>
        <w:t xml:space="preserve">, le </w:t>
      </w:r>
      <w:r w:rsidRPr="00590358">
        <w:rPr>
          <w:rFonts w:ascii="Times New Roman" w:hAnsi="Times New Roman" w:cs="Times New Roman"/>
          <w:sz w:val="24"/>
          <w:szCs w:val="24"/>
        </w:rPr>
        <w:t xml:space="preserve">controversie sulla maternità, il </w:t>
      </w:r>
      <w:r w:rsidRPr="00590358">
        <w:rPr>
          <w:rFonts w:ascii="Times New Roman" w:hAnsi="Times New Roman" w:cs="Times New Roman"/>
          <w:i/>
          <w:iCs/>
          <w:sz w:val="24"/>
          <w:szCs w:val="24"/>
        </w:rPr>
        <w:t>glass ceiling</w:t>
      </w:r>
      <w:r w:rsidR="008501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016F">
        <w:rPr>
          <w:rFonts w:ascii="Times New Roman" w:hAnsi="Times New Roman" w:cs="Times New Roman"/>
          <w:sz w:val="24"/>
          <w:szCs w:val="24"/>
        </w:rPr>
        <w:t>(</w:t>
      </w:r>
      <w:r w:rsidR="0085016F" w:rsidRPr="0085016F">
        <w:rPr>
          <w:rFonts w:ascii="Times New Roman" w:hAnsi="Times New Roman" w:cs="Times New Roman"/>
          <w:sz w:val="24"/>
          <w:szCs w:val="24"/>
        </w:rPr>
        <w:t xml:space="preserve">soffitto di </w:t>
      </w:r>
      <w:r w:rsidR="0085016F">
        <w:rPr>
          <w:rFonts w:ascii="Times New Roman" w:hAnsi="Times New Roman" w:cs="Times New Roman"/>
          <w:sz w:val="24"/>
          <w:szCs w:val="24"/>
        </w:rPr>
        <w:t>cristallo)</w:t>
      </w:r>
      <w:r w:rsidRPr="00590358">
        <w:rPr>
          <w:rFonts w:ascii="Times New Roman" w:hAnsi="Times New Roman" w:cs="Times New Roman"/>
          <w:sz w:val="24"/>
          <w:szCs w:val="24"/>
        </w:rPr>
        <w:t>, le disparità salariali e le difficoltà nel raggiungimento di posizioni apicali sono argomenti noti e ricorr</w:t>
      </w:r>
      <w:r w:rsidR="00590358" w:rsidRPr="00590358">
        <w:rPr>
          <w:rFonts w:ascii="Times New Roman" w:hAnsi="Times New Roman" w:cs="Times New Roman"/>
          <w:sz w:val="24"/>
          <w:szCs w:val="24"/>
        </w:rPr>
        <w:t xml:space="preserve">enti </w:t>
      </w:r>
      <w:r w:rsidR="00B11FF7">
        <w:rPr>
          <w:rFonts w:ascii="Times New Roman" w:hAnsi="Times New Roman" w:cs="Times New Roman"/>
          <w:sz w:val="24"/>
          <w:szCs w:val="24"/>
        </w:rPr>
        <w:t>negli</w:t>
      </w:r>
      <w:r w:rsidRPr="00590358">
        <w:rPr>
          <w:rFonts w:ascii="Times New Roman" w:hAnsi="Times New Roman" w:cs="Times New Roman"/>
          <w:sz w:val="24"/>
          <w:szCs w:val="24"/>
        </w:rPr>
        <w:t xml:space="preserve"> studi e </w:t>
      </w:r>
      <w:r w:rsidR="00B11FF7">
        <w:rPr>
          <w:rFonts w:ascii="Times New Roman" w:hAnsi="Times New Roman" w:cs="Times New Roman"/>
          <w:sz w:val="24"/>
          <w:szCs w:val="24"/>
        </w:rPr>
        <w:t xml:space="preserve">nei </w:t>
      </w:r>
      <w:r w:rsidRPr="00590358">
        <w:rPr>
          <w:rFonts w:ascii="Times New Roman" w:hAnsi="Times New Roman" w:cs="Times New Roman"/>
          <w:sz w:val="24"/>
          <w:szCs w:val="24"/>
        </w:rPr>
        <w:t>convegni.</w:t>
      </w:r>
      <w:r w:rsidR="00590358" w:rsidRPr="00590358">
        <w:rPr>
          <w:rFonts w:ascii="Times New Roman" w:hAnsi="Times New Roman" w:cs="Times New Roman"/>
          <w:sz w:val="24"/>
          <w:szCs w:val="24"/>
        </w:rPr>
        <w:t xml:space="preserve"> </w:t>
      </w:r>
      <w:r w:rsidR="00E42F47">
        <w:rPr>
          <w:rFonts w:ascii="Times New Roman" w:hAnsi="Times New Roman" w:cs="Times New Roman"/>
          <w:sz w:val="24"/>
          <w:szCs w:val="24"/>
        </w:rPr>
        <w:t xml:space="preserve">Seppur si stia lavorando </w:t>
      </w:r>
      <w:r w:rsidR="00FC5013">
        <w:rPr>
          <w:rFonts w:ascii="Times New Roman" w:hAnsi="Times New Roman" w:cs="Times New Roman"/>
          <w:sz w:val="24"/>
          <w:szCs w:val="24"/>
        </w:rPr>
        <w:t>contro tutte quelle barriere invisibili che impediscono o complicano la crescita professionale delle lavoratrici, si corre il rischio di concentrarsi su quelle abbattute ed ignorare le nuove che si formano o che non sono state accora approfondite</w:t>
      </w:r>
      <w:r w:rsidR="0085016F">
        <w:rPr>
          <w:rFonts w:ascii="Times New Roman" w:hAnsi="Times New Roman" w:cs="Times New Roman"/>
          <w:sz w:val="24"/>
          <w:szCs w:val="24"/>
        </w:rPr>
        <w:t xml:space="preserve">, illudendosi </w:t>
      </w:r>
      <w:r w:rsidR="00FC72CC">
        <w:rPr>
          <w:rFonts w:ascii="Times New Roman" w:hAnsi="Times New Roman" w:cs="Times New Roman"/>
          <w:sz w:val="24"/>
          <w:szCs w:val="24"/>
        </w:rPr>
        <w:t>di essere prossimi alla risoluzione</w:t>
      </w:r>
      <w:r w:rsidR="00FC5013">
        <w:rPr>
          <w:rFonts w:ascii="Times New Roman" w:hAnsi="Times New Roman" w:cs="Times New Roman"/>
          <w:sz w:val="24"/>
          <w:szCs w:val="24"/>
        </w:rPr>
        <w:t xml:space="preserve"> del fenomeno</w:t>
      </w:r>
      <w:r w:rsidR="00FC72CC">
        <w:rPr>
          <w:rFonts w:ascii="Times New Roman" w:hAnsi="Times New Roman" w:cs="Times New Roman"/>
          <w:sz w:val="24"/>
          <w:szCs w:val="24"/>
        </w:rPr>
        <w:t xml:space="preserve">. </w:t>
      </w:r>
      <w:r w:rsidR="00FC5013">
        <w:rPr>
          <w:rFonts w:ascii="Times New Roman" w:hAnsi="Times New Roman" w:cs="Times New Roman"/>
          <w:sz w:val="24"/>
          <w:szCs w:val="24"/>
        </w:rPr>
        <w:t>L</w:t>
      </w:r>
      <w:r w:rsidR="00FC72CC">
        <w:rPr>
          <w:rFonts w:ascii="Times New Roman" w:hAnsi="Times New Roman" w:cs="Times New Roman"/>
          <w:sz w:val="24"/>
          <w:szCs w:val="24"/>
        </w:rPr>
        <w:t>e statistiche</w:t>
      </w:r>
      <w:r w:rsidR="00FC5013">
        <w:rPr>
          <w:rFonts w:ascii="Times New Roman" w:hAnsi="Times New Roman" w:cs="Times New Roman"/>
          <w:sz w:val="24"/>
          <w:szCs w:val="24"/>
        </w:rPr>
        <w:t>, infatti,</w:t>
      </w:r>
      <w:r w:rsidR="00FC72CC">
        <w:rPr>
          <w:rFonts w:ascii="Times New Roman" w:hAnsi="Times New Roman" w:cs="Times New Roman"/>
          <w:sz w:val="24"/>
          <w:szCs w:val="24"/>
        </w:rPr>
        <w:t xml:space="preserve"> mostrano ancora dati </w:t>
      </w:r>
      <w:r w:rsidR="00A36820">
        <w:rPr>
          <w:rFonts w:ascii="Times New Roman" w:hAnsi="Times New Roman" w:cs="Times New Roman"/>
          <w:sz w:val="24"/>
          <w:szCs w:val="24"/>
        </w:rPr>
        <w:t xml:space="preserve">poco convincenti. </w:t>
      </w:r>
      <w:r w:rsidR="00E42F47">
        <w:rPr>
          <w:rFonts w:ascii="Times New Roman" w:hAnsi="Times New Roman" w:cs="Times New Roman"/>
          <w:sz w:val="24"/>
          <w:szCs w:val="24"/>
        </w:rPr>
        <w:t>Ad esempio, n</w:t>
      </w:r>
      <w:r w:rsidR="00A36820">
        <w:rPr>
          <w:rFonts w:ascii="Times New Roman" w:hAnsi="Times New Roman" w:cs="Times New Roman"/>
          <w:sz w:val="24"/>
          <w:szCs w:val="24"/>
        </w:rPr>
        <w:t>el settore medico</w:t>
      </w:r>
      <w:r w:rsidR="00FC5013">
        <w:rPr>
          <w:rFonts w:ascii="Times New Roman" w:hAnsi="Times New Roman" w:cs="Times New Roman"/>
          <w:sz w:val="24"/>
          <w:szCs w:val="24"/>
        </w:rPr>
        <w:t>,</w:t>
      </w:r>
      <w:r w:rsidR="00A36820">
        <w:rPr>
          <w:rFonts w:ascii="Times New Roman" w:hAnsi="Times New Roman" w:cs="Times New Roman"/>
          <w:sz w:val="24"/>
          <w:szCs w:val="24"/>
        </w:rPr>
        <w:t xml:space="preserve"> pur essendo notevolmente aumentate le professioniste donne</w:t>
      </w:r>
      <w:r w:rsidR="00FC5013">
        <w:rPr>
          <w:rFonts w:ascii="Times New Roman" w:hAnsi="Times New Roman" w:cs="Times New Roman"/>
          <w:sz w:val="24"/>
          <w:szCs w:val="24"/>
        </w:rPr>
        <w:t>,</w:t>
      </w:r>
      <w:r w:rsidR="00A36820">
        <w:rPr>
          <w:rFonts w:ascii="Times New Roman" w:hAnsi="Times New Roman" w:cs="Times New Roman"/>
          <w:sz w:val="24"/>
          <w:szCs w:val="24"/>
        </w:rPr>
        <w:t xml:space="preserve"> solo una su tre ricopre una posizione apicale </w:t>
      </w:r>
      <w:r w:rsidR="0085016F">
        <w:rPr>
          <w:rFonts w:ascii="Times New Roman" w:hAnsi="Times New Roman" w:cs="Times New Roman"/>
          <w:sz w:val="24"/>
          <w:szCs w:val="24"/>
        </w:rPr>
        <w:t>rispetto</w:t>
      </w:r>
      <w:r w:rsidR="00A36820">
        <w:rPr>
          <w:rFonts w:ascii="Times New Roman" w:hAnsi="Times New Roman" w:cs="Times New Roman"/>
          <w:sz w:val="24"/>
          <w:szCs w:val="24"/>
        </w:rPr>
        <w:t xml:space="preserve"> </w:t>
      </w:r>
      <w:r w:rsidR="0085016F">
        <w:rPr>
          <w:rFonts w:ascii="Times New Roman" w:hAnsi="Times New Roman" w:cs="Times New Roman"/>
          <w:sz w:val="24"/>
          <w:szCs w:val="24"/>
        </w:rPr>
        <w:t>al</w:t>
      </w:r>
      <w:r w:rsidR="00A36820">
        <w:rPr>
          <w:rFonts w:ascii="Times New Roman" w:hAnsi="Times New Roman" w:cs="Times New Roman"/>
          <w:sz w:val="24"/>
          <w:szCs w:val="24"/>
        </w:rPr>
        <w:t xml:space="preserve">la </w:t>
      </w:r>
      <w:r w:rsidR="00E42F47">
        <w:rPr>
          <w:rFonts w:ascii="Times New Roman" w:hAnsi="Times New Roman" w:cs="Times New Roman"/>
          <w:sz w:val="24"/>
          <w:szCs w:val="24"/>
        </w:rPr>
        <w:t>percentuale maschile di uno su due.</w:t>
      </w:r>
      <w:r w:rsidR="00FC5013">
        <w:rPr>
          <w:rFonts w:ascii="Times New Roman" w:hAnsi="Times New Roman" w:cs="Times New Roman"/>
          <w:sz w:val="24"/>
          <w:szCs w:val="24"/>
        </w:rPr>
        <w:t xml:space="preserve"> R</w:t>
      </w:r>
      <w:r w:rsidR="00590358" w:rsidRPr="00590358">
        <w:rPr>
          <w:rFonts w:ascii="Times New Roman" w:hAnsi="Times New Roman" w:cs="Times New Roman"/>
          <w:sz w:val="24"/>
          <w:szCs w:val="24"/>
        </w:rPr>
        <w:t xml:space="preserve">iconoscerne le difficoltà e prevenirne le cause </w:t>
      </w:r>
      <w:r w:rsidR="00590358">
        <w:rPr>
          <w:rFonts w:ascii="Times New Roman" w:hAnsi="Times New Roman" w:cs="Times New Roman"/>
          <w:sz w:val="24"/>
          <w:szCs w:val="24"/>
        </w:rPr>
        <w:t xml:space="preserve">resta un lavoro complesso che deve essere condotto </w:t>
      </w:r>
      <w:r w:rsidR="00B11FF7">
        <w:rPr>
          <w:rFonts w:ascii="Times New Roman" w:hAnsi="Times New Roman" w:cs="Times New Roman"/>
          <w:sz w:val="24"/>
          <w:szCs w:val="24"/>
        </w:rPr>
        <w:t>ripetutamente</w:t>
      </w:r>
      <w:r w:rsidR="00FC5013">
        <w:rPr>
          <w:rFonts w:ascii="Times New Roman" w:hAnsi="Times New Roman" w:cs="Times New Roman"/>
          <w:sz w:val="24"/>
          <w:szCs w:val="24"/>
        </w:rPr>
        <w:t xml:space="preserve"> e</w:t>
      </w:r>
      <w:r w:rsidR="00B11FF7">
        <w:rPr>
          <w:rFonts w:ascii="Times New Roman" w:hAnsi="Times New Roman" w:cs="Times New Roman"/>
          <w:sz w:val="24"/>
          <w:szCs w:val="24"/>
        </w:rPr>
        <w:t xml:space="preserve"> </w:t>
      </w:r>
      <w:r w:rsidR="00590358">
        <w:rPr>
          <w:rFonts w:ascii="Times New Roman" w:hAnsi="Times New Roman" w:cs="Times New Roman"/>
          <w:sz w:val="24"/>
          <w:szCs w:val="24"/>
        </w:rPr>
        <w:t>su più piani</w:t>
      </w:r>
      <w:r w:rsidR="00D23866">
        <w:rPr>
          <w:rFonts w:ascii="Times New Roman" w:hAnsi="Times New Roman" w:cs="Times New Roman"/>
          <w:sz w:val="24"/>
          <w:szCs w:val="24"/>
        </w:rPr>
        <w:t xml:space="preserve"> subordinati</w:t>
      </w:r>
      <w:r w:rsidR="00B11FF7">
        <w:rPr>
          <w:rFonts w:ascii="Times New Roman" w:hAnsi="Times New Roman" w:cs="Times New Roman"/>
          <w:sz w:val="24"/>
          <w:szCs w:val="24"/>
        </w:rPr>
        <w:t xml:space="preserve">: quello della rilevazione e </w:t>
      </w:r>
      <w:proofErr w:type="spellStart"/>
      <w:r w:rsidR="00B11FF7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B11FF7">
        <w:rPr>
          <w:rFonts w:ascii="Times New Roman" w:hAnsi="Times New Roman" w:cs="Times New Roman"/>
          <w:sz w:val="24"/>
          <w:szCs w:val="24"/>
        </w:rPr>
        <w:t>-descrizione del fenomeno in mutamento; e quello dell’azione.</w:t>
      </w:r>
    </w:p>
    <w:p w14:paraId="2458B860" w14:textId="77777777" w:rsidR="002F37F0" w:rsidRPr="002172D1" w:rsidRDefault="002F37F0" w:rsidP="00E0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596DB" w14:textId="4CAFAD9B" w:rsidR="00B11FF7" w:rsidRDefault="00052040" w:rsidP="00E0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D1">
        <w:rPr>
          <w:rFonts w:ascii="Times New Roman" w:hAnsi="Times New Roman" w:cs="Times New Roman"/>
          <w:sz w:val="24"/>
          <w:szCs w:val="24"/>
        </w:rPr>
        <w:t>L’Ordine professionale, depositario della funzione di guida deontologica ed istituzionalmente deputato a costituire un </w:t>
      </w:r>
      <w:r w:rsidRPr="002172D1">
        <w:rPr>
          <w:rFonts w:ascii="Times New Roman" w:hAnsi="Times New Roman" w:cs="Times New Roman"/>
          <w:i/>
          <w:iCs/>
          <w:sz w:val="24"/>
          <w:szCs w:val="24"/>
        </w:rPr>
        <w:t>“trait d’union”</w:t>
      </w:r>
      <w:r w:rsidRPr="002172D1">
        <w:rPr>
          <w:rFonts w:ascii="Times New Roman" w:hAnsi="Times New Roman" w:cs="Times New Roman"/>
          <w:sz w:val="24"/>
          <w:szCs w:val="24"/>
        </w:rPr>
        <w:t> tra professionisti e società, deve oggi vedere arricchito di ulteriori signif</w:t>
      </w:r>
      <w:r w:rsidR="003E4781" w:rsidRPr="002172D1">
        <w:rPr>
          <w:rFonts w:ascii="Times New Roman" w:hAnsi="Times New Roman" w:cs="Times New Roman"/>
          <w:sz w:val="24"/>
          <w:szCs w:val="24"/>
        </w:rPr>
        <w:t>icati il suo tradizionale ruolo. Nell’assicurare</w:t>
      </w:r>
      <w:r w:rsidRPr="002172D1">
        <w:rPr>
          <w:rFonts w:ascii="Times New Roman" w:hAnsi="Times New Roman" w:cs="Times New Roman"/>
          <w:sz w:val="24"/>
          <w:szCs w:val="24"/>
        </w:rPr>
        <w:t xml:space="preserve"> l’adeguamento delle regole deontologiche alle esigenze della società moderna e </w:t>
      </w:r>
      <w:r w:rsidR="003E4781" w:rsidRPr="002172D1">
        <w:rPr>
          <w:rFonts w:ascii="Times New Roman" w:hAnsi="Times New Roman" w:cs="Times New Roman"/>
          <w:sz w:val="24"/>
          <w:szCs w:val="24"/>
        </w:rPr>
        <w:t xml:space="preserve"> nel </w:t>
      </w:r>
      <w:r w:rsidRPr="002172D1">
        <w:rPr>
          <w:rFonts w:ascii="Times New Roman" w:hAnsi="Times New Roman" w:cs="Times New Roman"/>
          <w:sz w:val="24"/>
          <w:szCs w:val="24"/>
        </w:rPr>
        <w:t>garant</w:t>
      </w:r>
      <w:r w:rsidR="003E4781" w:rsidRPr="002172D1">
        <w:rPr>
          <w:rFonts w:ascii="Times New Roman" w:hAnsi="Times New Roman" w:cs="Times New Roman"/>
          <w:sz w:val="24"/>
          <w:szCs w:val="24"/>
        </w:rPr>
        <w:t xml:space="preserve">ire </w:t>
      </w:r>
      <w:r w:rsidRPr="002172D1">
        <w:rPr>
          <w:rFonts w:ascii="Times New Roman" w:hAnsi="Times New Roman" w:cs="Times New Roman"/>
          <w:sz w:val="24"/>
          <w:szCs w:val="24"/>
        </w:rPr>
        <w:t>l’adesione dei medici a</w:t>
      </w:r>
      <w:r w:rsidR="003E4781" w:rsidRPr="002172D1">
        <w:rPr>
          <w:rFonts w:ascii="Times New Roman" w:hAnsi="Times New Roman" w:cs="Times New Roman"/>
          <w:sz w:val="24"/>
          <w:szCs w:val="24"/>
        </w:rPr>
        <w:t xml:space="preserve">lle regole deontologiche stesse, </w:t>
      </w:r>
      <w:r w:rsidR="008071A4" w:rsidRPr="002172D1">
        <w:rPr>
          <w:rFonts w:ascii="Times New Roman" w:hAnsi="Times New Roman" w:cs="Times New Roman"/>
          <w:sz w:val="24"/>
          <w:szCs w:val="24"/>
        </w:rPr>
        <w:t>può agire</w:t>
      </w:r>
      <w:r w:rsidR="003E4781" w:rsidRPr="002172D1">
        <w:rPr>
          <w:rFonts w:ascii="Times New Roman" w:hAnsi="Times New Roman" w:cs="Times New Roman"/>
          <w:sz w:val="24"/>
          <w:szCs w:val="24"/>
        </w:rPr>
        <w:t xml:space="preserve"> come sostegno e stimolo,</w:t>
      </w:r>
      <w:r w:rsidR="008071A4" w:rsidRPr="002172D1">
        <w:rPr>
          <w:rFonts w:ascii="Times New Roman" w:hAnsi="Times New Roman" w:cs="Times New Roman"/>
          <w:sz w:val="24"/>
          <w:szCs w:val="24"/>
        </w:rPr>
        <w:t xml:space="preserve"> attraverso</w:t>
      </w:r>
      <w:r w:rsidR="001002A9" w:rsidRPr="002172D1">
        <w:rPr>
          <w:rFonts w:ascii="Times New Roman" w:hAnsi="Times New Roman" w:cs="Times New Roman"/>
          <w:sz w:val="24"/>
          <w:szCs w:val="24"/>
        </w:rPr>
        <w:t xml:space="preserve"> le sue proposte</w:t>
      </w:r>
      <w:r w:rsidR="002F37F0" w:rsidRPr="002172D1">
        <w:rPr>
          <w:rFonts w:ascii="Times New Roman" w:hAnsi="Times New Roman" w:cs="Times New Roman"/>
          <w:sz w:val="24"/>
          <w:szCs w:val="24"/>
        </w:rPr>
        <w:t>,</w:t>
      </w:r>
      <w:r w:rsidR="001002A9" w:rsidRPr="002172D1">
        <w:rPr>
          <w:rFonts w:ascii="Times New Roman" w:hAnsi="Times New Roman" w:cs="Times New Roman"/>
          <w:sz w:val="24"/>
          <w:szCs w:val="24"/>
        </w:rPr>
        <w:t xml:space="preserve"> a favore del cambiamento auspicato.</w:t>
      </w:r>
      <w:r w:rsidR="0085016F" w:rsidRPr="002172D1">
        <w:rPr>
          <w:rFonts w:ascii="Times New Roman" w:hAnsi="Times New Roman" w:cs="Times New Roman"/>
          <w:sz w:val="24"/>
          <w:szCs w:val="24"/>
        </w:rPr>
        <w:t xml:space="preserve"> </w:t>
      </w:r>
      <w:r w:rsidR="00E07294" w:rsidRPr="002172D1">
        <w:rPr>
          <w:rFonts w:ascii="Times New Roman" w:hAnsi="Times New Roman" w:cs="Times New Roman"/>
          <w:sz w:val="24"/>
          <w:szCs w:val="24"/>
        </w:rPr>
        <w:t>Tuttavia, perché ciò avvenga è importante rilevare la percezione che gli</w:t>
      </w:r>
      <w:bookmarkStart w:id="0" w:name="_GoBack"/>
      <w:bookmarkEnd w:id="0"/>
      <w:r w:rsidR="00E07294" w:rsidRPr="002172D1">
        <w:rPr>
          <w:rFonts w:ascii="Times New Roman" w:hAnsi="Times New Roman" w:cs="Times New Roman"/>
          <w:sz w:val="24"/>
          <w:szCs w:val="24"/>
        </w:rPr>
        <w:t xml:space="preserve"> iscritti hanno dello stesso e della sua influenza nella condizione lavorativa. Comprendere i punti di forza e di debolezza sui quali si può agire a favore di un miglioramento della qualità di vita all’interno della sfera lavorativa, che impegna via via sempre maggiori quantità di tempo.</w:t>
      </w:r>
    </w:p>
    <w:p w14:paraId="385560C9" w14:textId="77777777" w:rsidR="00E07294" w:rsidRPr="0085016F" w:rsidRDefault="00E07294" w:rsidP="00E0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79236" w14:textId="1292603B" w:rsidR="00D50F99" w:rsidRDefault="0085016F" w:rsidP="00590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accordo con quanto espresso </w:t>
      </w:r>
      <w:r w:rsidR="008071A4">
        <w:rPr>
          <w:rFonts w:ascii="Times New Roman" w:hAnsi="Times New Roman" w:cs="Times New Roman"/>
          <w:sz w:val="24"/>
          <w:szCs w:val="24"/>
        </w:rPr>
        <w:t>sopra</w:t>
      </w:r>
      <w:r w:rsidR="001002A9">
        <w:rPr>
          <w:rFonts w:ascii="Times New Roman" w:hAnsi="Times New Roman" w:cs="Times New Roman"/>
          <w:sz w:val="24"/>
          <w:szCs w:val="24"/>
        </w:rPr>
        <w:t>,</w:t>
      </w:r>
      <w:r w:rsidR="008071A4">
        <w:rPr>
          <w:rFonts w:ascii="Times New Roman" w:hAnsi="Times New Roman" w:cs="Times New Roman"/>
          <w:sz w:val="24"/>
          <w:szCs w:val="24"/>
        </w:rPr>
        <w:t xml:space="preserve"> il presente studio si propone di </w:t>
      </w:r>
      <w:r w:rsidR="00266852" w:rsidRPr="00590358">
        <w:rPr>
          <w:rFonts w:ascii="Times New Roman" w:hAnsi="Times New Roman" w:cs="Times New Roman"/>
          <w:sz w:val="24"/>
          <w:szCs w:val="24"/>
        </w:rPr>
        <w:t>rilevare la percezione da parte del personale medico femminile del proprio ordine di appartenenza</w:t>
      </w:r>
      <w:r w:rsidR="00D46937">
        <w:rPr>
          <w:rFonts w:ascii="Times New Roman" w:hAnsi="Times New Roman" w:cs="Times New Roman"/>
          <w:sz w:val="24"/>
          <w:szCs w:val="24"/>
        </w:rPr>
        <w:t>:</w:t>
      </w:r>
      <w:r w:rsidR="001002A9">
        <w:rPr>
          <w:rFonts w:ascii="Times New Roman" w:hAnsi="Times New Roman" w:cs="Times New Roman"/>
          <w:sz w:val="24"/>
          <w:szCs w:val="24"/>
        </w:rPr>
        <w:t xml:space="preserve"> da un punto di vista generale </w:t>
      </w:r>
      <w:r w:rsidR="00D46937">
        <w:rPr>
          <w:rFonts w:ascii="Times New Roman" w:hAnsi="Times New Roman" w:cs="Times New Roman"/>
          <w:sz w:val="24"/>
          <w:szCs w:val="24"/>
        </w:rPr>
        <w:t>a uno più specifico e relativo al vissuto di genere</w:t>
      </w:r>
      <w:r w:rsidR="00266852" w:rsidRPr="00590358">
        <w:rPr>
          <w:rFonts w:ascii="Times New Roman" w:hAnsi="Times New Roman" w:cs="Times New Roman"/>
          <w:sz w:val="24"/>
          <w:szCs w:val="24"/>
        </w:rPr>
        <w:t>.</w:t>
      </w:r>
      <w:r w:rsidR="00D46937">
        <w:rPr>
          <w:rFonts w:ascii="Times New Roman" w:hAnsi="Times New Roman" w:cs="Times New Roman"/>
          <w:sz w:val="24"/>
          <w:szCs w:val="24"/>
        </w:rPr>
        <w:t xml:space="preserve"> È importante valutare la conoscenza che l’utente ha del proprio ordine</w:t>
      </w:r>
      <w:r w:rsidR="00D56EFD">
        <w:rPr>
          <w:rFonts w:ascii="Times New Roman" w:hAnsi="Times New Roman" w:cs="Times New Roman"/>
          <w:sz w:val="24"/>
          <w:szCs w:val="24"/>
        </w:rPr>
        <w:t>, come se lo raffigura e se crede che ci siano alcuni aspetti che in qualche modo possano essere discriminatori o non valorizzanti la differenza tra sessi. Lo sguardo di quest</w:t>
      </w:r>
      <w:r w:rsidR="00A17AB4">
        <w:rPr>
          <w:rFonts w:ascii="Times New Roman" w:hAnsi="Times New Roman" w:cs="Times New Roman"/>
          <w:sz w:val="24"/>
          <w:szCs w:val="24"/>
        </w:rPr>
        <w:t xml:space="preserve">a indagine </w:t>
      </w:r>
      <w:r w:rsidR="00D56EFD">
        <w:rPr>
          <w:rFonts w:ascii="Times New Roman" w:hAnsi="Times New Roman" w:cs="Times New Roman"/>
          <w:sz w:val="24"/>
          <w:szCs w:val="24"/>
        </w:rPr>
        <w:t xml:space="preserve">è rivolto a </w:t>
      </w:r>
      <w:r w:rsidR="00A17AB4">
        <w:rPr>
          <w:rFonts w:ascii="Times New Roman" w:hAnsi="Times New Roman" w:cs="Times New Roman"/>
          <w:sz w:val="24"/>
          <w:szCs w:val="24"/>
        </w:rPr>
        <w:t>costituire</w:t>
      </w:r>
      <w:r w:rsidR="00D56EFD">
        <w:rPr>
          <w:rFonts w:ascii="Times New Roman" w:hAnsi="Times New Roman" w:cs="Times New Roman"/>
          <w:sz w:val="24"/>
          <w:szCs w:val="24"/>
        </w:rPr>
        <w:t xml:space="preserve"> spazi di pensiero </w:t>
      </w:r>
      <w:r w:rsidR="00783E8D">
        <w:rPr>
          <w:rFonts w:ascii="Times New Roman" w:hAnsi="Times New Roman" w:cs="Times New Roman"/>
          <w:sz w:val="24"/>
          <w:szCs w:val="24"/>
        </w:rPr>
        <w:t>che</w:t>
      </w:r>
      <w:r w:rsidR="00D56EFD">
        <w:rPr>
          <w:rFonts w:ascii="Times New Roman" w:hAnsi="Times New Roman" w:cs="Times New Roman"/>
          <w:sz w:val="24"/>
          <w:szCs w:val="24"/>
        </w:rPr>
        <w:t xml:space="preserve"> possano </w:t>
      </w:r>
      <w:r w:rsidR="00783E8D">
        <w:rPr>
          <w:rFonts w:ascii="Times New Roman" w:hAnsi="Times New Roman" w:cs="Times New Roman"/>
          <w:sz w:val="24"/>
          <w:szCs w:val="24"/>
        </w:rPr>
        <w:t>generare</w:t>
      </w:r>
      <w:r w:rsidR="00D56EFD">
        <w:rPr>
          <w:rFonts w:ascii="Times New Roman" w:hAnsi="Times New Roman" w:cs="Times New Roman"/>
          <w:sz w:val="24"/>
          <w:szCs w:val="24"/>
        </w:rPr>
        <w:t xml:space="preserve"> nuove </w:t>
      </w:r>
      <w:r w:rsidR="00783E8D">
        <w:rPr>
          <w:rFonts w:ascii="Times New Roman" w:hAnsi="Times New Roman" w:cs="Times New Roman"/>
          <w:sz w:val="24"/>
          <w:szCs w:val="24"/>
        </w:rPr>
        <w:t xml:space="preserve">(e non solo pari) </w:t>
      </w:r>
      <w:r w:rsidR="00D56EFD">
        <w:rPr>
          <w:rFonts w:ascii="Times New Roman" w:hAnsi="Times New Roman" w:cs="Times New Roman"/>
          <w:sz w:val="24"/>
          <w:szCs w:val="24"/>
        </w:rPr>
        <w:t>opportunità</w:t>
      </w:r>
      <w:r w:rsidR="00783E8D">
        <w:rPr>
          <w:rFonts w:ascii="Times New Roman" w:hAnsi="Times New Roman" w:cs="Times New Roman"/>
          <w:sz w:val="24"/>
          <w:szCs w:val="24"/>
        </w:rPr>
        <w:t>. Migliorare in questo modo la vita lavorativa permette</w:t>
      </w:r>
      <w:r w:rsidR="006A250D">
        <w:rPr>
          <w:rFonts w:ascii="Times New Roman" w:hAnsi="Times New Roman" w:cs="Times New Roman"/>
          <w:sz w:val="24"/>
          <w:szCs w:val="24"/>
        </w:rPr>
        <w:t>:</w:t>
      </w:r>
      <w:r w:rsidR="00783E8D">
        <w:rPr>
          <w:rFonts w:ascii="Times New Roman" w:hAnsi="Times New Roman" w:cs="Times New Roman"/>
          <w:sz w:val="24"/>
          <w:szCs w:val="24"/>
        </w:rPr>
        <w:t xml:space="preserve"> alle donne di essere </w:t>
      </w:r>
      <w:r w:rsidR="00783E8D">
        <w:rPr>
          <w:rFonts w:ascii="Times New Roman" w:hAnsi="Times New Roman" w:cs="Times New Roman"/>
          <w:sz w:val="24"/>
          <w:szCs w:val="24"/>
        </w:rPr>
        <w:lastRenderedPageBreak/>
        <w:t xml:space="preserve">professioniste soddisfatte e messe nelle condizioni </w:t>
      </w:r>
      <w:r w:rsidR="006A250D">
        <w:rPr>
          <w:rFonts w:ascii="Times New Roman" w:hAnsi="Times New Roman" w:cs="Times New Roman"/>
          <w:sz w:val="24"/>
          <w:szCs w:val="24"/>
        </w:rPr>
        <w:t>migliori per</w:t>
      </w:r>
      <w:r w:rsidR="00783E8D">
        <w:rPr>
          <w:rFonts w:ascii="Times New Roman" w:hAnsi="Times New Roman" w:cs="Times New Roman"/>
          <w:sz w:val="24"/>
          <w:szCs w:val="24"/>
        </w:rPr>
        <w:t xml:space="preserve"> esprimere il proprio potenziale</w:t>
      </w:r>
      <w:r w:rsidR="00A17AB4">
        <w:rPr>
          <w:rFonts w:ascii="Times New Roman" w:hAnsi="Times New Roman" w:cs="Times New Roman"/>
          <w:sz w:val="24"/>
          <w:szCs w:val="24"/>
        </w:rPr>
        <w:t>;</w:t>
      </w:r>
      <w:r w:rsidR="00783E8D">
        <w:rPr>
          <w:rFonts w:ascii="Times New Roman" w:hAnsi="Times New Roman" w:cs="Times New Roman"/>
          <w:sz w:val="24"/>
          <w:szCs w:val="24"/>
        </w:rPr>
        <w:t xml:space="preserve"> e </w:t>
      </w:r>
      <w:r w:rsidR="00A17AB4">
        <w:rPr>
          <w:rFonts w:ascii="Times New Roman" w:hAnsi="Times New Roman" w:cs="Times New Roman"/>
          <w:sz w:val="24"/>
          <w:szCs w:val="24"/>
        </w:rPr>
        <w:t xml:space="preserve">alla sanità </w:t>
      </w:r>
      <w:r w:rsidR="006A250D">
        <w:rPr>
          <w:rFonts w:ascii="Times New Roman" w:hAnsi="Times New Roman" w:cs="Times New Roman"/>
          <w:sz w:val="24"/>
          <w:szCs w:val="24"/>
        </w:rPr>
        <w:t xml:space="preserve">di ottenere una maggiore qualità </w:t>
      </w:r>
      <w:r w:rsidR="006A250D" w:rsidRPr="002172D1">
        <w:rPr>
          <w:rFonts w:ascii="Times New Roman" w:hAnsi="Times New Roman" w:cs="Times New Roman"/>
          <w:sz w:val="24"/>
          <w:szCs w:val="24"/>
        </w:rPr>
        <w:t>dei servizi</w:t>
      </w:r>
      <w:r w:rsidR="003E4781" w:rsidRPr="002172D1">
        <w:rPr>
          <w:rFonts w:ascii="Times New Roman" w:hAnsi="Times New Roman" w:cs="Times New Roman"/>
          <w:sz w:val="24"/>
          <w:szCs w:val="24"/>
        </w:rPr>
        <w:t xml:space="preserve"> </w:t>
      </w:r>
      <w:r w:rsidR="006A250D" w:rsidRPr="002172D1">
        <w:rPr>
          <w:rFonts w:ascii="Times New Roman" w:hAnsi="Times New Roman" w:cs="Times New Roman"/>
          <w:sz w:val="24"/>
          <w:szCs w:val="24"/>
        </w:rPr>
        <w:t xml:space="preserve"> offerti </w:t>
      </w:r>
      <w:r w:rsidR="003E4781" w:rsidRPr="002172D1">
        <w:rPr>
          <w:rFonts w:ascii="Times New Roman" w:hAnsi="Times New Roman" w:cs="Times New Roman"/>
          <w:sz w:val="24"/>
          <w:szCs w:val="24"/>
        </w:rPr>
        <w:t>.</w:t>
      </w:r>
    </w:p>
    <w:p w14:paraId="32BB69C1" w14:textId="77777777" w:rsidR="006227DD" w:rsidRPr="00590358" w:rsidRDefault="006227DD" w:rsidP="00590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01841" w14:textId="77777777" w:rsidR="00A17AB4" w:rsidRDefault="00A17AB4" w:rsidP="005903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C2CD1" w14:textId="67C8D77F" w:rsidR="00D50F99" w:rsidRPr="00921CB0" w:rsidRDefault="00D50F99" w:rsidP="005903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B0">
        <w:rPr>
          <w:rFonts w:ascii="Times New Roman" w:hAnsi="Times New Roman" w:cs="Times New Roman"/>
          <w:b/>
          <w:bCs/>
          <w:sz w:val="24"/>
          <w:szCs w:val="24"/>
        </w:rPr>
        <w:t>Criteri di inclusione</w:t>
      </w:r>
      <w:r w:rsidR="00921C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DCF472" w14:textId="6A3D470E" w:rsidR="00921CB0" w:rsidRDefault="00921CB0" w:rsidP="00921CB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B0">
        <w:rPr>
          <w:rFonts w:ascii="Times New Roman" w:hAnsi="Times New Roman" w:cs="Times New Roman"/>
          <w:sz w:val="24"/>
          <w:szCs w:val="24"/>
        </w:rPr>
        <w:t>Personale medico di genere femminile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7FF769" w14:textId="6EB5D821" w:rsidR="001C4DF8" w:rsidRDefault="00921CB0" w:rsidP="00921CB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l’</w:t>
      </w:r>
      <w:r w:rsidRPr="00921CB0">
        <w:rPr>
          <w:rFonts w:ascii="Times New Roman" w:hAnsi="Times New Roman" w:cs="Times New Roman"/>
          <w:sz w:val="24"/>
          <w:szCs w:val="24"/>
        </w:rPr>
        <w:t>iscri</w:t>
      </w:r>
      <w:r>
        <w:rPr>
          <w:rFonts w:ascii="Times New Roman" w:hAnsi="Times New Roman" w:cs="Times New Roman"/>
          <w:sz w:val="24"/>
          <w:szCs w:val="24"/>
        </w:rPr>
        <w:t>zione</w:t>
      </w:r>
      <w:r w:rsidRPr="00921CB0">
        <w:rPr>
          <w:rFonts w:ascii="Times New Roman" w:hAnsi="Times New Roman" w:cs="Times New Roman"/>
          <w:sz w:val="24"/>
          <w:szCs w:val="24"/>
        </w:rPr>
        <w:t xml:space="preserve"> all’ordine professionale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5DBA56" w14:textId="66916A31" w:rsidR="00921CB0" w:rsidRPr="00921CB0" w:rsidRDefault="00921CB0" w:rsidP="00921CB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vi sono limiti d’età.</w:t>
      </w:r>
    </w:p>
    <w:p w14:paraId="22DC8F6C" w14:textId="0E5E01A9" w:rsidR="00D50F99" w:rsidRPr="00921CB0" w:rsidRDefault="00D50F99" w:rsidP="005903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B0">
        <w:rPr>
          <w:rFonts w:ascii="Times New Roman" w:hAnsi="Times New Roman" w:cs="Times New Roman"/>
          <w:b/>
          <w:bCs/>
          <w:sz w:val="24"/>
          <w:szCs w:val="24"/>
        </w:rPr>
        <w:t>Criteri di esclusione</w:t>
      </w:r>
      <w:r w:rsidR="00921C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1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5154F9" w14:textId="48907914" w:rsidR="00921CB0" w:rsidRPr="00921CB0" w:rsidRDefault="00921CB0" w:rsidP="00921CB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B0">
        <w:rPr>
          <w:rFonts w:ascii="Times New Roman" w:hAnsi="Times New Roman" w:cs="Times New Roman"/>
          <w:sz w:val="24"/>
          <w:szCs w:val="24"/>
        </w:rPr>
        <w:t>Non essere appartenenti al genere femminile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21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E554D" w14:textId="1F784B0B" w:rsidR="00921CB0" w:rsidRPr="00921CB0" w:rsidRDefault="00921CB0" w:rsidP="00921CB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21CB0">
        <w:rPr>
          <w:rFonts w:ascii="Times New Roman" w:hAnsi="Times New Roman" w:cs="Times New Roman"/>
          <w:sz w:val="24"/>
          <w:szCs w:val="24"/>
        </w:rPr>
        <w:t>ssere laureandi in medicina</w:t>
      </w:r>
      <w:r>
        <w:rPr>
          <w:rFonts w:ascii="Times New Roman" w:hAnsi="Times New Roman" w:cs="Times New Roman"/>
          <w:sz w:val="24"/>
          <w:szCs w:val="24"/>
        </w:rPr>
        <w:t>/ non abilitati alla professione;</w:t>
      </w:r>
    </w:p>
    <w:p w14:paraId="15025504" w14:textId="64E39DB7" w:rsidR="00F67A8B" w:rsidRDefault="00921CB0" w:rsidP="00921CB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21CB0">
        <w:rPr>
          <w:rFonts w:ascii="Times New Roman" w:hAnsi="Times New Roman" w:cs="Times New Roman"/>
          <w:sz w:val="24"/>
          <w:szCs w:val="24"/>
        </w:rPr>
        <w:t>on essere iscritti all’ordine professionale.</w:t>
      </w:r>
    </w:p>
    <w:p w14:paraId="3C4B965F" w14:textId="3AD4890A" w:rsidR="00921CB0" w:rsidRDefault="00921CB0" w:rsidP="00921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A115D" w14:textId="325D827D" w:rsidR="00921CB0" w:rsidRPr="00921CB0" w:rsidRDefault="00921CB0" w:rsidP="00921C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CB0">
        <w:rPr>
          <w:rFonts w:ascii="Times New Roman" w:hAnsi="Times New Roman" w:cs="Times New Roman"/>
          <w:b/>
          <w:bCs/>
          <w:sz w:val="24"/>
          <w:szCs w:val="24"/>
        </w:rPr>
        <w:t>Metodi e strumenti</w:t>
      </w:r>
    </w:p>
    <w:p w14:paraId="150FF9F0" w14:textId="5960864A" w:rsidR="00D50F99" w:rsidRPr="00590358" w:rsidRDefault="00D50F99" w:rsidP="00590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58">
        <w:rPr>
          <w:rFonts w:ascii="Times New Roman" w:hAnsi="Times New Roman" w:cs="Times New Roman"/>
          <w:sz w:val="24"/>
          <w:szCs w:val="24"/>
        </w:rPr>
        <w:t xml:space="preserve">Per procedere alla raccolta dei dati verrà </w:t>
      </w:r>
      <w:r w:rsidR="001C4DF8">
        <w:rPr>
          <w:rFonts w:ascii="Times New Roman" w:hAnsi="Times New Roman" w:cs="Times New Roman"/>
          <w:sz w:val="24"/>
          <w:szCs w:val="24"/>
        </w:rPr>
        <w:t>proposto</w:t>
      </w:r>
      <w:r w:rsidR="00921CB0">
        <w:rPr>
          <w:rFonts w:ascii="Times New Roman" w:hAnsi="Times New Roman" w:cs="Times New Roman"/>
          <w:sz w:val="24"/>
          <w:szCs w:val="24"/>
        </w:rPr>
        <w:t xml:space="preserve"> e inviato per </w:t>
      </w:r>
      <w:r w:rsidR="00A17AB4">
        <w:rPr>
          <w:rFonts w:ascii="Times New Roman" w:hAnsi="Times New Roman" w:cs="Times New Roman"/>
          <w:sz w:val="24"/>
          <w:szCs w:val="24"/>
        </w:rPr>
        <w:t>e-mail</w:t>
      </w:r>
      <w:r w:rsidRPr="00590358">
        <w:rPr>
          <w:rFonts w:ascii="Times New Roman" w:hAnsi="Times New Roman" w:cs="Times New Roman"/>
          <w:sz w:val="24"/>
          <w:szCs w:val="24"/>
        </w:rPr>
        <w:t xml:space="preserve"> un protocollo</w:t>
      </w:r>
      <w:r w:rsidR="001C4DF8">
        <w:rPr>
          <w:rFonts w:ascii="Times New Roman" w:hAnsi="Times New Roman" w:cs="Times New Roman"/>
          <w:sz w:val="24"/>
          <w:szCs w:val="24"/>
        </w:rPr>
        <w:t xml:space="preserve"> in autosomministrazione</w:t>
      </w:r>
      <w:r w:rsidRPr="00590358">
        <w:rPr>
          <w:rFonts w:ascii="Times New Roman" w:hAnsi="Times New Roman" w:cs="Times New Roman"/>
          <w:sz w:val="24"/>
          <w:szCs w:val="24"/>
        </w:rPr>
        <w:t xml:space="preserve"> sulla piattaforma Google Moduli che prevede:</w:t>
      </w:r>
    </w:p>
    <w:p w14:paraId="75022FE0" w14:textId="739D53DA" w:rsidR="00D50F99" w:rsidRPr="00590358" w:rsidRDefault="00D50F99" w:rsidP="005903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58">
        <w:rPr>
          <w:rFonts w:ascii="Times New Roman" w:hAnsi="Times New Roman" w:cs="Times New Roman"/>
          <w:b/>
          <w:bCs/>
          <w:sz w:val="24"/>
          <w:szCs w:val="24"/>
        </w:rPr>
        <w:t>Acquisizione del consenso informato</w:t>
      </w:r>
      <w:r w:rsidRPr="00590358">
        <w:rPr>
          <w:rFonts w:ascii="Times New Roman" w:hAnsi="Times New Roman" w:cs="Times New Roman"/>
          <w:sz w:val="24"/>
          <w:szCs w:val="24"/>
        </w:rPr>
        <w:t>.</w:t>
      </w:r>
    </w:p>
    <w:p w14:paraId="75A6D34B" w14:textId="426E1247" w:rsidR="00D50F99" w:rsidRPr="00590358" w:rsidRDefault="00D50F99" w:rsidP="005903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58">
        <w:rPr>
          <w:rFonts w:ascii="Times New Roman" w:hAnsi="Times New Roman" w:cs="Times New Roman"/>
          <w:b/>
          <w:bCs/>
          <w:sz w:val="24"/>
          <w:szCs w:val="24"/>
        </w:rPr>
        <w:t>Scheda dei dati anagrafici appositamente creata</w:t>
      </w:r>
      <w:r w:rsidRPr="00590358">
        <w:rPr>
          <w:rFonts w:ascii="Times New Roman" w:hAnsi="Times New Roman" w:cs="Times New Roman"/>
          <w:sz w:val="24"/>
          <w:szCs w:val="24"/>
        </w:rPr>
        <w:t>.</w:t>
      </w:r>
    </w:p>
    <w:p w14:paraId="47C284D5" w14:textId="256A394C" w:rsidR="004923AA" w:rsidRPr="00590358" w:rsidRDefault="00D50F99" w:rsidP="0059035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58">
        <w:rPr>
          <w:rFonts w:ascii="Times New Roman" w:hAnsi="Times New Roman" w:cs="Times New Roman"/>
          <w:b/>
          <w:bCs/>
          <w:sz w:val="24"/>
          <w:szCs w:val="24"/>
        </w:rPr>
        <w:t>Tre sezioni di domande riguardanti l’ordine professionale</w:t>
      </w:r>
      <w:r w:rsidR="00F67A8B" w:rsidRPr="005903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0358">
        <w:rPr>
          <w:rFonts w:ascii="Times New Roman" w:hAnsi="Times New Roman" w:cs="Times New Roman"/>
          <w:b/>
          <w:bCs/>
          <w:sz w:val="24"/>
          <w:szCs w:val="24"/>
        </w:rPr>
        <w:t>Esperienza dell’ordine di appartenenza;</w:t>
      </w:r>
      <w:r w:rsidR="00F67A8B" w:rsidRPr="00590358">
        <w:rPr>
          <w:rFonts w:ascii="Times New Roman" w:hAnsi="Times New Roman" w:cs="Times New Roman"/>
          <w:b/>
          <w:bCs/>
          <w:sz w:val="24"/>
          <w:szCs w:val="24"/>
        </w:rPr>
        <w:t xml:space="preserve"> Percezione dell’ordine; L’ordine al femminile</w:t>
      </w:r>
      <w:r w:rsidR="002172D1">
        <w:rPr>
          <w:rFonts w:ascii="Times New Roman" w:hAnsi="Times New Roman" w:cs="Times New Roman"/>
          <w:sz w:val="24"/>
          <w:szCs w:val="24"/>
        </w:rPr>
        <w:t xml:space="preserve"> p</w:t>
      </w:r>
      <w:r w:rsidRPr="00590358">
        <w:rPr>
          <w:rFonts w:ascii="Times New Roman" w:hAnsi="Times New Roman" w:cs="Times New Roman"/>
          <w:sz w:val="24"/>
          <w:szCs w:val="24"/>
        </w:rPr>
        <w:t>ensate per analizzare il costrutto di interesse in assenza di strumenti in letteratura</w:t>
      </w:r>
      <w:r w:rsidR="00F67A8B" w:rsidRPr="00590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C3973" w14:textId="77777777" w:rsidR="001C4DF8" w:rsidRDefault="00F67A8B" w:rsidP="00590358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58">
        <w:rPr>
          <w:rFonts w:ascii="Times New Roman" w:hAnsi="Times New Roman" w:cs="Times New Roman"/>
          <w:sz w:val="24"/>
          <w:szCs w:val="24"/>
        </w:rPr>
        <w:t>La prima sezione indaga</w:t>
      </w:r>
      <w:r w:rsidR="004923AA" w:rsidRPr="00590358">
        <w:rPr>
          <w:rFonts w:ascii="Times New Roman" w:hAnsi="Times New Roman" w:cs="Times New Roman"/>
          <w:sz w:val="24"/>
          <w:szCs w:val="24"/>
        </w:rPr>
        <w:t xml:space="preserve"> le forme e i casi in cui la professionista è entrata in contatto con l’ordine e se è a conoscenza delle caratteristiche (obblighi e possibilità) di quest’ultimo. La seconda approfondisce le impressioni delle utenti </w:t>
      </w:r>
      <w:r w:rsidR="00563F5F" w:rsidRPr="00590358">
        <w:rPr>
          <w:rFonts w:ascii="Times New Roman" w:hAnsi="Times New Roman" w:cs="Times New Roman"/>
          <w:sz w:val="24"/>
          <w:szCs w:val="24"/>
        </w:rPr>
        <w:t xml:space="preserve">sull’operato dell’ordine in termini di: </w:t>
      </w:r>
      <w:r w:rsidR="004923AA" w:rsidRPr="00590358">
        <w:rPr>
          <w:rFonts w:ascii="Times New Roman" w:hAnsi="Times New Roman" w:cs="Times New Roman"/>
          <w:sz w:val="24"/>
          <w:szCs w:val="24"/>
        </w:rPr>
        <w:t>tutela</w:t>
      </w:r>
      <w:r w:rsidR="00563F5F" w:rsidRPr="00590358">
        <w:rPr>
          <w:rFonts w:ascii="Times New Roman" w:hAnsi="Times New Roman" w:cs="Times New Roman"/>
          <w:sz w:val="24"/>
          <w:szCs w:val="24"/>
        </w:rPr>
        <w:t xml:space="preserve">, </w:t>
      </w:r>
      <w:r w:rsidR="004923AA" w:rsidRPr="00590358">
        <w:rPr>
          <w:rFonts w:ascii="Times New Roman" w:hAnsi="Times New Roman" w:cs="Times New Roman"/>
          <w:sz w:val="24"/>
          <w:szCs w:val="24"/>
        </w:rPr>
        <w:t xml:space="preserve">rappresentatività e </w:t>
      </w:r>
      <w:r w:rsidR="00563F5F" w:rsidRPr="00590358">
        <w:rPr>
          <w:rFonts w:ascii="Times New Roman" w:hAnsi="Times New Roman" w:cs="Times New Roman"/>
          <w:sz w:val="24"/>
          <w:szCs w:val="24"/>
        </w:rPr>
        <w:t>soddisfazione. L’ultima valuta come l’ordine viene percepito sulla base del genere femminile e sulle sue specifiche necessità (pari opportunità vs. discriminazione).</w:t>
      </w:r>
    </w:p>
    <w:p w14:paraId="28E62E1E" w14:textId="7ABEA931" w:rsidR="001C4DF8" w:rsidRDefault="001C4DF8" w:rsidP="00A66A5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C0">
        <w:rPr>
          <w:rFonts w:ascii="Times New Roman" w:hAnsi="Times New Roman" w:cs="Times New Roman"/>
          <w:b/>
          <w:bCs/>
          <w:sz w:val="24"/>
          <w:szCs w:val="24"/>
        </w:rPr>
        <w:t>TEMPS-A Scale</w:t>
      </w:r>
      <w:r w:rsidRPr="00D14BC0">
        <w:rPr>
          <w:rFonts w:ascii="Times New Roman" w:hAnsi="Times New Roman" w:cs="Times New Roman"/>
          <w:sz w:val="24"/>
          <w:szCs w:val="24"/>
        </w:rPr>
        <w:t>: è un</w:t>
      </w:r>
      <w:r w:rsidR="00A17AB4">
        <w:rPr>
          <w:rFonts w:ascii="Times New Roman" w:hAnsi="Times New Roman" w:cs="Times New Roman"/>
          <w:sz w:val="24"/>
          <w:szCs w:val="24"/>
        </w:rPr>
        <w:t xml:space="preserve">a scala </w:t>
      </w:r>
      <w:r w:rsidRPr="00D14BC0">
        <w:rPr>
          <w:rFonts w:ascii="Times New Roman" w:hAnsi="Times New Roman" w:cs="Times New Roman"/>
          <w:sz w:val="24"/>
          <w:szCs w:val="24"/>
        </w:rPr>
        <w:t xml:space="preserve">di autovalutazione </w:t>
      </w:r>
      <w:r w:rsidR="00A17AB4">
        <w:rPr>
          <w:rFonts w:ascii="Times New Roman" w:hAnsi="Times New Roman" w:cs="Times New Roman"/>
          <w:sz w:val="24"/>
          <w:szCs w:val="24"/>
        </w:rPr>
        <w:t>dei</w:t>
      </w:r>
      <w:r w:rsidR="00D14BC0" w:rsidRPr="00D14BC0">
        <w:rPr>
          <w:rFonts w:ascii="Times New Roman" w:hAnsi="Times New Roman" w:cs="Times New Roman"/>
          <w:sz w:val="24"/>
          <w:szCs w:val="24"/>
        </w:rPr>
        <w:t xml:space="preserve"> temperamenti affettivi</w:t>
      </w:r>
      <w:r w:rsidR="00D14BC0">
        <w:rPr>
          <w:rFonts w:ascii="Times New Roman" w:hAnsi="Times New Roman" w:cs="Times New Roman"/>
          <w:sz w:val="24"/>
          <w:szCs w:val="24"/>
        </w:rPr>
        <w:t xml:space="preserve">. Valuta le cinque sotto scale: </w:t>
      </w:r>
      <w:r w:rsidR="00D14BC0" w:rsidRPr="00D14BC0">
        <w:rPr>
          <w:rFonts w:ascii="Times New Roman" w:hAnsi="Times New Roman" w:cs="Times New Roman"/>
          <w:sz w:val="24"/>
          <w:szCs w:val="24"/>
        </w:rPr>
        <w:t>ciclotimico, depressivo, irritabile, ipertimico, ansioso</w:t>
      </w:r>
      <w:r w:rsidR="00D14BC0">
        <w:rPr>
          <w:rFonts w:ascii="Times New Roman" w:hAnsi="Times New Roman" w:cs="Times New Roman"/>
          <w:sz w:val="24"/>
          <w:szCs w:val="24"/>
        </w:rPr>
        <w:t>. La versione scelta si compone di 39 items a risposta dicotomica “si”, “no”.</w:t>
      </w:r>
    </w:p>
    <w:p w14:paraId="1B6DFEE4" w14:textId="0AB8F45E" w:rsidR="00531B4F" w:rsidRDefault="00531B4F" w:rsidP="00A66A5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UWES</w:t>
      </w:r>
      <w:r w:rsidRPr="00531B4F">
        <w:rPr>
          <w:rFonts w:ascii="Times New Roman" w:hAnsi="Times New Roman" w:cs="Times New Roman"/>
          <w:sz w:val="24"/>
          <w:szCs w:val="24"/>
        </w:rPr>
        <w:t>-</w:t>
      </w:r>
      <w:r w:rsidRPr="00A17AB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: è una scala composta da nove items e indaga l’impegno lavorativo attraverso le dimensioni di: vigore, dedizione e assorbimento. Il soggetto risponde secondo una scala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7 punti (dove 0= mai e 6= Sempre).</w:t>
      </w:r>
    </w:p>
    <w:p w14:paraId="7483683A" w14:textId="70426E1B" w:rsidR="00531B4F" w:rsidRDefault="00531B4F" w:rsidP="00531B4F">
      <w:pPr>
        <w:pStyle w:val="Paragrafoelenco"/>
        <w:spacing w:line="360" w:lineRule="auto"/>
        <w:ind w:lef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6F785" w14:textId="353BEDA1" w:rsidR="00531B4F" w:rsidRDefault="00531B4F" w:rsidP="00531B4F">
      <w:pPr>
        <w:pStyle w:val="Paragrafoelenco"/>
        <w:spacing w:line="360" w:lineRule="auto"/>
        <w:ind w:lef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Risultati attesi</w:t>
      </w:r>
    </w:p>
    <w:p w14:paraId="71AAAF9B" w14:textId="53CE4DDF" w:rsidR="001C4DF8" w:rsidRDefault="00921CB0" w:rsidP="00921CB0">
      <w:pPr>
        <w:pStyle w:val="Paragrafoelenco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Correlazioni tra l’impegno lavorativo, il benessere psicologico e la possibilità dell’ordine professionale di influenzare questi aspetti.</w:t>
      </w:r>
    </w:p>
    <w:p w14:paraId="01775905" w14:textId="77777777" w:rsidR="001C4DF8" w:rsidRPr="00531B4F" w:rsidRDefault="001C4DF8" w:rsidP="001C4DF8">
      <w:pPr>
        <w:rPr>
          <w:rFonts w:ascii="Times New Roman" w:hAnsi="Times New Roman" w:cs="Times New Roman"/>
          <w:sz w:val="24"/>
          <w:szCs w:val="24"/>
        </w:rPr>
      </w:pPr>
      <w:r w:rsidRPr="00531B4F">
        <w:rPr>
          <w:rFonts w:ascii="Times New Roman" w:hAnsi="Times New Roman" w:cs="Times New Roman"/>
          <w:sz w:val="24"/>
          <w:szCs w:val="24"/>
        </w:rPr>
        <w:t xml:space="preserve">Bibliografia </w:t>
      </w:r>
    </w:p>
    <w:p w14:paraId="5A9EBC27" w14:textId="6E1ADA11" w:rsidR="001C4DF8" w:rsidRDefault="001C4DF8" w:rsidP="00BB24FE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B24FE">
        <w:rPr>
          <w:rFonts w:ascii="Times New Roman" w:hAnsi="Times New Roman" w:cs="Times New Roman"/>
          <w:sz w:val="24"/>
          <w:szCs w:val="24"/>
        </w:rPr>
        <w:t xml:space="preserve">Balducci, C., Fraccaroli, F., &amp; </w:t>
      </w:r>
      <w:proofErr w:type="spellStart"/>
      <w:r w:rsidRPr="00BB24FE">
        <w:rPr>
          <w:rFonts w:ascii="Times New Roman" w:hAnsi="Times New Roman" w:cs="Times New Roman"/>
          <w:sz w:val="24"/>
          <w:szCs w:val="24"/>
        </w:rPr>
        <w:t>Schaufeli</w:t>
      </w:r>
      <w:proofErr w:type="spellEnd"/>
      <w:r w:rsidRPr="00BB24FE">
        <w:rPr>
          <w:rFonts w:ascii="Times New Roman" w:hAnsi="Times New Roman" w:cs="Times New Roman"/>
          <w:sz w:val="24"/>
          <w:szCs w:val="24"/>
        </w:rPr>
        <w:t xml:space="preserve">, W. B. (2010). </w:t>
      </w:r>
      <w:r w:rsidRPr="00BB24FE">
        <w:rPr>
          <w:rFonts w:ascii="Times New Roman" w:hAnsi="Times New Roman" w:cs="Times New Roman"/>
          <w:sz w:val="24"/>
          <w:szCs w:val="24"/>
          <w:lang w:val="en-US"/>
        </w:rPr>
        <w:t>Psychometric properties of the Italian version of the Utrecht Work Engagement Scale (UWES-9): A cross-cultural analysis. </w:t>
      </w:r>
      <w:r w:rsidRPr="00BB24FE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 Journal of Psychological Assessment, 26</w:t>
      </w:r>
      <w:r w:rsidRPr="00BB24FE">
        <w:rPr>
          <w:rFonts w:ascii="Times New Roman" w:hAnsi="Times New Roman" w:cs="Times New Roman"/>
          <w:sz w:val="24"/>
          <w:szCs w:val="24"/>
          <w:lang w:val="en-US"/>
        </w:rPr>
        <w:t>(2), 143–149. </w:t>
      </w:r>
      <w:hyperlink r:id="rId6" w:tgtFrame="_blank" w:history="1">
        <w:r w:rsidRPr="00BB24FE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https://doi.org/10.1027/1015-5759/a000020</w:t>
        </w:r>
      </w:hyperlink>
    </w:p>
    <w:p w14:paraId="172CBFF4" w14:textId="77777777" w:rsidR="00BB24FE" w:rsidRPr="00BB24FE" w:rsidRDefault="00BB24FE" w:rsidP="00BB24FE">
      <w:pPr>
        <w:pStyle w:val="Paragrafoelenco"/>
        <w:rPr>
          <w:sz w:val="24"/>
          <w:szCs w:val="24"/>
        </w:rPr>
      </w:pPr>
    </w:p>
    <w:p w14:paraId="6DDDE177" w14:textId="02873122" w:rsidR="00BB24FE" w:rsidRPr="00BB24FE" w:rsidRDefault="00BB24FE" w:rsidP="00BB24F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24FE">
        <w:rPr>
          <w:rFonts w:ascii="Times New Roman" w:hAnsi="Times New Roman" w:cs="Times New Roman"/>
          <w:sz w:val="24"/>
          <w:szCs w:val="24"/>
          <w:lang w:val="en-US"/>
        </w:rPr>
        <w:t>Powell, G. N., &amp; Butterfield, D. A. (2015). The glass ceiling: what have we learned 20 years on?. </w:t>
      </w:r>
      <w:r w:rsidRPr="00BB24FE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BB24FE">
        <w:rPr>
          <w:rFonts w:ascii="Times New Roman" w:hAnsi="Times New Roman" w:cs="Times New Roman"/>
          <w:i/>
          <w:iCs/>
          <w:sz w:val="24"/>
          <w:szCs w:val="24"/>
        </w:rPr>
        <w:t>Organizational</w:t>
      </w:r>
      <w:proofErr w:type="spellEnd"/>
      <w:r w:rsidRPr="00BB2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24FE">
        <w:rPr>
          <w:rFonts w:ascii="Times New Roman" w:hAnsi="Times New Roman" w:cs="Times New Roman"/>
          <w:i/>
          <w:iCs/>
          <w:sz w:val="24"/>
          <w:szCs w:val="24"/>
        </w:rPr>
        <w:t>Effectiveness</w:t>
      </w:r>
      <w:proofErr w:type="spellEnd"/>
      <w:r w:rsidRPr="00BB24FE">
        <w:rPr>
          <w:rFonts w:ascii="Times New Roman" w:hAnsi="Times New Roman" w:cs="Times New Roman"/>
          <w:i/>
          <w:iCs/>
          <w:sz w:val="24"/>
          <w:szCs w:val="24"/>
        </w:rPr>
        <w:t>: People and Performance</w:t>
      </w:r>
      <w:r w:rsidRPr="00BB24FE">
        <w:rPr>
          <w:rFonts w:ascii="Times New Roman" w:hAnsi="Times New Roman" w:cs="Times New Roman"/>
          <w:sz w:val="24"/>
          <w:szCs w:val="24"/>
        </w:rPr>
        <w:t>.</w:t>
      </w:r>
    </w:p>
    <w:p w14:paraId="1774923D" w14:textId="77777777" w:rsidR="00BB24FE" w:rsidRPr="00BB24FE" w:rsidRDefault="00BB24FE" w:rsidP="00BB24FE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16A50BDF" w14:textId="36BC79BE" w:rsidR="001C4DF8" w:rsidRDefault="001C4DF8" w:rsidP="00BB24F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Preti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Vellante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Zucca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Tondo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Akiskal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Akiskal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 H. The Italian version of the validated short TEMPS-A: the temperament evaluation of Memphis, Pisa, Paris and San Diego. J Affect </w:t>
      </w: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Disord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. 2010 Jan;120(1-3):207-12. </w:t>
      </w: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>: 10.1016/j.jad.2009.02.025. PMID: 19327844.</w:t>
      </w:r>
    </w:p>
    <w:p w14:paraId="77974D8E" w14:textId="77777777" w:rsidR="00BB24FE" w:rsidRPr="00BB24FE" w:rsidRDefault="00BB24FE" w:rsidP="00BB24FE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14:paraId="13C0023D" w14:textId="39E7DF7F" w:rsidR="00D50F99" w:rsidRPr="00BB24FE" w:rsidRDefault="00BB24FE" w:rsidP="00BB24FE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Purcell, D., MacArthur, K. R., &amp; </w:t>
      </w: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Samblanet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>, S. (2010). Gender and the glass ceiling at work. </w:t>
      </w:r>
      <w:proofErr w:type="spellStart"/>
      <w:r w:rsidRPr="00BB24FE">
        <w:rPr>
          <w:rFonts w:ascii="Times New Roman" w:hAnsi="Times New Roman" w:cs="Times New Roman"/>
          <w:i/>
          <w:iCs/>
          <w:sz w:val="24"/>
          <w:szCs w:val="24"/>
        </w:rPr>
        <w:t>Sociology</w:t>
      </w:r>
      <w:proofErr w:type="spellEnd"/>
      <w:r w:rsidRPr="00BB2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24FE">
        <w:rPr>
          <w:rFonts w:ascii="Times New Roman" w:hAnsi="Times New Roman" w:cs="Times New Roman"/>
          <w:i/>
          <w:iCs/>
          <w:sz w:val="24"/>
          <w:szCs w:val="24"/>
        </w:rPr>
        <w:t>Compass</w:t>
      </w:r>
      <w:proofErr w:type="spellEnd"/>
      <w:r w:rsidRPr="00BB24FE">
        <w:rPr>
          <w:rFonts w:ascii="Times New Roman" w:hAnsi="Times New Roman" w:cs="Times New Roman"/>
          <w:sz w:val="24"/>
          <w:szCs w:val="24"/>
        </w:rPr>
        <w:t>, </w:t>
      </w:r>
      <w:r w:rsidRPr="00BB24F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B24FE">
        <w:rPr>
          <w:rFonts w:ascii="Times New Roman" w:hAnsi="Times New Roman" w:cs="Times New Roman"/>
          <w:sz w:val="24"/>
          <w:szCs w:val="24"/>
        </w:rPr>
        <w:t>(9), 705-717.</w:t>
      </w:r>
      <w:r w:rsidR="001C4DF8" w:rsidRPr="00BB2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650AE8" w14:textId="77777777" w:rsidR="00BB24FE" w:rsidRPr="00BB24FE" w:rsidRDefault="00BB24FE" w:rsidP="00BB24F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90F79CA" w14:textId="77777777" w:rsidR="002172D1" w:rsidRDefault="00BB24FE" w:rsidP="002172D1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4FE">
        <w:rPr>
          <w:rFonts w:ascii="Times New Roman" w:hAnsi="Times New Roman" w:cs="Times New Roman"/>
          <w:sz w:val="24"/>
          <w:szCs w:val="24"/>
          <w:lang w:val="en-US"/>
        </w:rPr>
        <w:t>Zhuge</w:t>
      </w:r>
      <w:proofErr w:type="spellEnd"/>
      <w:r w:rsidRPr="00BB24FE">
        <w:rPr>
          <w:rFonts w:ascii="Times New Roman" w:hAnsi="Times New Roman" w:cs="Times New Roman"/>
          <w:sz w:val="24"/>
          <w:szCs w:val="24"/>
          <w:lang w:val="en-US"/>
        </w:rPr>
        <w:t>, Y., Kaufman, J., Simeone, D. M., Chen, H., &amp; Velazquez, O. C. (2011). Is there still a glass ceiling for women in academic surgery?. </w:t>
      </w:r>
      <w:proofErr w:type="spellStart"/>
      <w:r w:rsidRPr="00BB24FE">
        <w:rPr>
          <w:rFonts w:ascii="Times New Roman" w:hAnsi="Times New Roman" w:cs="Times New Roman"/>
          <w:i/>
          <w:iCs/>
          <w:sz w:val="24"/>
          <w:szCs w:val="24"/>
        </w:rPr>
        <w:t>Annals</w:t>
      </w:r>
      <w:proofErr w:type="spellEnd"/>
      <w:r w:rsidRPr="00BB24F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B24FE">
        <w:rPr>
          <w:rFonts w:ascii="Times New Roman" w:hAnsi="Times New Roman" w:cs="Times New Roman"/>
          <w:i/>
          <w:iCs/>
          <w:sz w:val="24"/>
          <w:szCs w:val="24"/>
        </w:rPr>
        <w:t>surgery</w:t>
      </w:r>
      <w:proofErr w:type="spellEnd"/>
      <w:r w:rsidRPr="00BB24FE">
        <w:rPr>
          <w:rFonts w:ascii="Times New Roman" w:hAnsi="Times New Roman" w:cs="Times New Roman"/>
          <w:sz w:val="24"/>
          <w:szCs w:val="24"/>
        </w:rPr>
        <w:t>, </w:t>
      </w:r>
      <w:r w:rsidRPr="00BB24FE">
        <w:rPr>
          <w:rFonts w:ascii="Times New Roman" w:hAnsi="Times New Roman" w:cs="Times New Roman"/>
          <w:i/>
          <w:iCs/>
          <w:sz w:val="24"/>
          <w:szCs w:val="24"/>
        </w:rPr>
        <w:t>253</w:t>
      </w:r>
      <w:r w:rsidRPr="00BB24FE">
        <w:rPr>
          <w:rFonts w:ascii="Times New Roman" w:hAnsi="Times New Roman" w:cs="Times New Roman"/>
          <w:sz w:val="24"/>
          <w:szCs w:val="24"/>
        </w:rPr>
        <w:t>(4), 637-643.</w:t>
      </w:r>
    </w:p>
    <w:p w14:paraId="11C03545" w14:textId="77777777" w:rsidR="002172D1" w:rsidRPr="002172D1" w:rsidRDefault="002172D1" w:rsidP="002172D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250655D" w14:textId="34775EEC" w:rsidR="002172D1" w:rsidRPr="002172D1" w:rsidRDefault="002172D1" w:rsidP="002172D1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Ordine dei Medici Chirurghi e Odontoiatri della Provincia di Messina </w:t>
      </w:r>
      <w:hyperlink r:id="rId7" w:history="1">
        <w:r w:rsidRPr="00B5161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https://www.omceo.me.it/</w:t>
        </w:r>
      </w:hyperlink>
    </w:p>
    <w:p w14:paraId="0DD4FE68" w14:textId="77777777" w:rsidR="002172D1" w:rsidRPr="002172D1" w:rsidRDefault="002172D1" w:rsidP="002172D1">
      <w:pPr>
        <w:pStyle w:val="Paragrafoelenc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D5ACBB" w14:textId="59E1FFBF" w:rsidR="002172D1" w:rsidRPr="002172D1" w:rsidRDefault="002172D1" w:rsidP="00BB24FE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D1">
        <w:rPr>
          <w:rFonts w:ascii="Times New Roman" w:hAnsi="Times New Roman" w:cs="Times New Roman"/>
          <w:sz w:val="24"/>
          <w:szCs w:val="24"/>
        </w:rPr>
        <w:t>La Professione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72D1">
        <w:rPr>
          <w:rFonts w:ascii="Times New Roman" w:hAnsi="Times New Roman" w:cs="Times New Roman"/>
          <w:sz w:val="24"/>
          <w:szCs w:val="24"/>
        </w:rPr>
        <w:t xml:space="preserve"> Medicina,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72D1">
        <w:rPr>
          <w:rFonts w:ascii="Times New Roman" w:hAnsi="Times New Roman" w:cs="Times New Roman"/>
          <w:sz w:val="24"/>
          <w:szCs w:val="24"/>
        </w:rPr>
        <w:t xml:space="preserve">cienza,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72D1">
        <w:rPr>
          <w:rFonts w:ascii="Times New Roman" w:hAnsi="Times New Roman" w:cs="Times New Roman"/>
          <w:sz w:val="24"/>
          <w:szCs w:val="24"/>
        </w:rPr>
        <w:t xml:space="preserve">tica 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72D1">
        <w:rPr>
          <w:rFonts w:ascii="Times New Roman" w:hAnsi="Times New Roman" w:cs="Times New Roman"/>
          <w:sz w:val="24"/>
          <w:szCs w:val="24"/>
        </w:rPr>
        <w:t xml:space="preserve">ocietà. Intervista a Roberta </w:t>
      </w:r>
      <w:proofErr w:type="spellStart"/>
      <w:r w:rsidRPr="002172D1">
        <w:rPr>
          <w:rFonts w:ascii="Times New Roman" w:hAnsi="Times New Roman" w:cs="Times New Roman"/>
          <w:sz w:val="24"/>
          <w:szCs w:val="24"/>
        </w:rPr>
        <w:t>Cherseva</w:t>
      </w:r>
      <w:r w:rsidR="00BF7F3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F7F3B">
        <w:rPr>
          <w:rFonts w:ascii="Times New Roman" w:hAnsi="Times New Roman" w:cs="Times New Roman"/>
          <w:sz w:val="24"/>
          <w:szCs w:val="24"/>
        </w:rPr>
        <w:t>. Leadership in Sanità: interp</w:t>
      </w:r>
      <w:r w:rsidRPr="002172D1">
        <w:rPr>
          <w:rFonts w:ascii="Times New Roman" w:hAnsi="Times New Roman" w:cs="Times New Roman"/>
          <w:sz w:val="24"/>
          <w:szCs w:val="24"/>
        </w:rPr>
        <w:t xml:space="preserve">retazione al femminile, innovazione e opportunità. </w:t>
      </w:r>
      <w:r w:rsidR="00BF7F3B">
        <w:rPr>
          <w:rFonts w:ascii="Times New Roman" w:hAnsi="Times New Roman" w:cs="Times New Roman"/>
          <w:sz w:val="24"/>
          <w:szCs w:val="24"/>
        </w:rPr>
        <w:t>2011 -</w:t>
      </w:r>
      <w:r w:rsidRPr="002172D1">
        <w:rPr>
          <w:rFonts w:ascii="Times New Roman" w:hAnsi="Times New Roman" w:cs="Times New Roman"/>
          <w:sz w:val="24"/>
          <w:szCs w:val="24"/>
        </w:rPr>
        <w:t xml:space="preserve"> II MMXI.</w:t>
      </w:r>
    </w:p>
    <w:sectPr w:rsidR="002172D1" w:rsidRPr="00217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F71"/>
    <w:multiLevelType w:val="hybridMultilevel"/>
    <w:tmpl w:val="C30E88C2"/>
    <w:lvl w:ilvl="0" w:tplc="B1E8C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17A"/>
    <w:multiLevelType w:val="hybridMultilevel"/>
    <w:tmpl w:val="2736B2D8"/>
    <w:lvl w:ilvl="0" w:tplc="96E8E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1DE8"/>
    <w:multiLevelType w:val="hybridMultilevel"/>
    <w:tmpl w:val="E564D6FC"/>
    <w:lvl w:ilvl="0" w:tplc="B1E8C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A61C2"/>
    <w:multiLevelType w:val="hybridMultilevel"/>
    <w:tmpl w:val="6E52E014"/>
    <w:lvl w:ilvl="0" w:tplc="B1E8C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63C94"/>
    <w:multiLevelType w:val="hybridMultilevel"/>
    <w:tmpl w:val="994805B4"/>
    <w:lvl w:ilvl="0" w:tplc="B1E8C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5E3B"/>
    <w:multiLevelType w:val="hybridMultilevel"/>
    <w:tmpl w:val="A4364E44"/>
    <w:lvl w:ilvl="0" w:tplc="B1E8C4D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70"/>
    <w:rsid w:val="00052040"/>
    <w:rsid w:val="001002A9"/>
    <w:rsid w:val="001008B3"/>
    <w:rsid w:val="00102BDC"/>
    <w:rsid w:val="001C4DF8"/>
    <w:rsid w:val="002172D1"/>
    <w:rsid w:val="00266852"/>
    <w:rsid w:val="002F37F0"/>
    <w:rsid w:val="002F5B70"/>
    <w:rsid w:val="003D21EC"/>
    <w:rsid w:val="003E4781"/>
    <w:rsid w:val="004923AA"/>
    <w:rsid w:val="00512582"/>
    <w:rsid w:val="00531B4F"/>
    <w:rsid w:val="00563F5F"/>
    <w:rsid w:val="00590358"/>
    <w:rsid w:val="006227DD"/>
    <w:rsid w:val="006A250D"/>
    <w:rsid w:val="006B7FC6"/>
    <w:rsid w:val="00783E8D"/>
    <w:rsid w:val="008071A4"/>
    <w:rsid w:val="0085016F"/>
    <w:rsid w:val="00921CB0"/>
    <w:rsid w:val="00A17AB4"/>
    <w:rsid w:val="00A36820"/>
    <w:rsid w:val="00AA2AD6"/>
    <w:rsid w:val="00B11FF7"/>
    <w:rsid w:val="00B64FE6"/>
    <w:rsid w:val="00BB24FE"/>
    <w:rsid w:val="00BD5E43"/>
    <w:rsid w:val="00BF7F3B"/>
    <w:rsid w:val="00CA2C5C"/>
    <w:rsid w:val="00D14BC0"/>
    <w:rsid w:val="00D23866"/>
    <w:rsid w:val="00D46937"/>
    <w:rsid w:val="00D50F99"/>
    <w:rsid w:val="00D56EFD"/>
    <w:rsid w:val="00E07294"/>
    <w:rsid w:val="00E42F47"/>
    <w:rsid w:val="00F67A8B"/>
    <w:rsid w:val="00FC5013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F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DF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72D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72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F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DF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72D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7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mceo.m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Cardile</dc:creator>
  <cp:lastModifiedBy>User</cp:lastModifiedBy>
  <cp:revision>2</cp:revision>
  <dcterms:created xsi:type="dcterms:W3CDTF">2023-01-22T10:49:00Z</dcterms:created>
  <dcterms:modified xsi:type="dcterms:W3CDTF">2023-01-22T10:49:00Z</dcterms:modified>
</cp:coreProperties>
</file>